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D454B">
      <w:pPr>
        <w:jc w:val="left"/>
        <w:rPr>
          <w:rFonts w:ascii="黑体" w:hAnsi="黑体" w:eastAsia="黑体" w:cs="黑体"/>
          <w:bCs/>
          <w:color w:val="000000"/>
          <w:sz w:val="24"/>
          <w:szCs w:val="24"/>
        </w:rPr>
      </w:pPr>
    </w:p>
    <w:p w14:paraId="4808ACFB">
      <w:pPr>
        <w:jc w:val="left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附件1</w:t>
      </w:r>
    </w:p>
    <w:p w14:paraId="26BC02B0">
      <w:pPr>
        <w:jc w:val="left"/>
        <w:rPr>
          <w:rFonts w:ascii="黑体" w:hAnsi="黑体" w:eastAsia="黑体" w:cs="黑体"/>
          <w:bCs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编号</w:t>
      </w:r>
      <w:r>
        <w:rPr>
          <w:rFonts w:hint="eastAsia" w:ascii="黑体" w:hAnsi="黑体" w:eastAsia="黑体" w:cs="黑体"/>
          <w:bCs/>
          <w:color w:val="000000"/>
          <w:sz w:val="24"/>
          <w:szCs w:val="24"/>
          <w:u w:val="single"/>
        </w:rPr>
        <w:t xml:space="preserve">    </w:t>
      </w:r>
    </w:p>
    <w:p w14:paraId="379C4429">
      <w:pPr>
        <w:pStyle w:val="2"/>
        <w:jc w:val="center"/>
      </w:pPr>
    </w:p>
    <w:p w14:paraId="73ABB3F9">
      <w:pPr>
        <w:pStyle w:val="2"/>
        <w:jc w:val="center"/>
      </w:pPr>
      <w:r>
        <w:rPr>
          <w:rFonts w:hint="eastAsia"/>
        </w:rPr>
        <w:t>第十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届恰佩克奖申报表（品牌奖）</w:t>
      </w:r>
    </w:p>
    <w:p w14:paraId="1364BE2D">
      <w:pPr>
        <w:pStyle w:val="2"/>
        <w:jc w:val="center"/>
      </w:pPr>
    </w:p>
    <w:p w14:paraId="544EAFF5">
      <w:pPr>
        <w:jc w:val="center"/>
        <w:rPr>
          <w:rFonts w:ascii="黑体" w:hAnsi="黑体" w:eastAsia="黑体" w:cs="黑体"/>
          <w:bCs/>
          <w:color w:val="000000"/>
          <w:sz w:val="32"/>
          <w:szCs w:val="32"/>
        </w:rPr>
      </w:pPr>
    </w:p>
    <w:p w14:paraId="694C009C">
      <w:pPr>
        <w:jc w:val="center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1075690</wp:posOffset>
                </wp:positionH>
                <wp:positionV relativeFrom="paragraph">
                  <wp:posOffset>273050</wp:posOffset>
                </wp:positionV>
                <wp:extent cx="4049395" cy="259778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76780" y="3686175"/>
                          <a:ext cx="4049395" cy="2597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35373">
                            <w:pPr>
                              <w:pStyle w:val="4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申报奖项：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</w:t>
                            </w:r>
                          </w:p>
                          <w:p w14:paraId="6D4D518D">
                            <w:pPr>
                              <w:pStyle w:val="4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单位名称：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</w:t>
                            </w:r>
                          </w:p>
                          <w:p w14:paraId="5E1A5E84">
                            <w:pPr>
                              <w:pStyle w:val="4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单位类别：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</w:t>
                            </w:r>
                          </w:p>
                          <w:p w14:paraId="3E1F0063">
                            <w:pPr>
                              <w:pStyle w:val="4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申报日期：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</w:t>
                            </w:r>
                          </w:p>
                          <w:p w14:paraId="635B4380">
                            <w:pPr>
                              <w:jc w:val="left"/>
                              <w:rPr>
                                <w:rFonts w:ascii="Arial" w:hAnsi="Arial" w:eastAsia="黑体"/>
                                <w:b/>
                                <w:sz w:val="2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7pt;margin-top:21.5pt;height:204.55pt;width:318.85pt;z-index:251659264;mso-width-relative:page;mso-height-relative:page;" filled="f" stroked="f" coordsize="21600,21600" o:gfxdata="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9ByZYtoAAAAKAQAADwAAAAAA&#10;AAABACAAAAAiAAAAZHJzL2Rvd25yZXYueG1sUEsBAhQAFAAAAAgAh07iQNR05BlKAgAAcwQAAA4A&#10;AAAAAAAAAQAgAAAAKQ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8B35373">
                      <w:pPr>
                        <w:pStyle w:val="4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申报奖项：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</w:t>
                      </w:r>
                    </w:p>
                    <w:p w14:paraId="6D4D518D">
                      <w:pPr>
                        <w:pStyle w:val="4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单位名称：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</w:t>
                      </w:r>
                    </w:p>
                    <w:p w14:paraId="5E1A5E84">
                      <w:pPr>
                        <w:pStyle w:val="4"/>
                        <w:jc w:val="left"/>
                      </w:pPr>
                      <w:r>
                        <w:rPr>
                          <w:rFonts w:hint="eastAsia"/>
                        </w:rPr>
                        <w:t>单位类别：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</w:t>
                      </w:r>
                    </w:p>
                    <w:p w14:paraId="3E1F0063">
                      <w:pPr>
                        <w:pStyle w:val="4"/>
                        <w:jc w:val="left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申报日期：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</w:t>
                      </w:r>
                    </w:p>
                    <w:p w14:paraId="635B4380">
                      <w:pPr>
                        <w:jc w:val="left"/>
                        <w:rPr>
                          <w:rFonts w:ascii="Arial" w:hAnsi="Arial" w:eastAsia="黑体"/>
                          <w:b/>
                          <w:sz w:val="2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5844C4">
      <w:pPr>
        <w:jc w:val="left"/>
        <w:rPr>
          <w:rFonts w:ascii="黑体" w:hAnsi="黑体" w:eastAsia="黑体" w:cs="黑体"/>
          <w:bCs/>
          <w:color w:val="000000"/>
          <w:sz w:val="32"/>
          <w:szCs w:val="32"/>
        </w:rPr>
      </w:pPr>
    </w:p>
    <w:p w14:paraId="62023138">
      <w:pPr>
        <w:rPr>
          <w:rFonts w:ascii="黑体" w:hAnsi="黑体" w:eastAsia="黑体" w:cs="黑体"/>
          <w:bCs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174" w:right="1134" w:bottom="964" w:left="1134" w:header="851" w:footer="709" w:gutter="0"/>
          <w:cols w:space="720" w:num="1"/>
          <w:docGrid w:type="lines" w:linePitch="312" w:charSpace="0"/>
        </w:sectPr>
      </w:pPr>
    </w:p>
    <w:p w14:paraId="790C890D">
      <w:pPr>
        <w:jc w:val="center"/>
        <w:rPr>
          <w:rFonts w:ascii="黑体" w:hAnsi="黑体" w:eastAsia="黑体" w:cs="黑体"/>
          <w:bCs/>
          <w:color w:val="000000"/>
          <w:sz w:val="32"/>
          <w:szCs w:val="32"/>
        </w:rPr>
      </w:pPr>
    </w:p>
    <w:p w14:paraId="7BC98FC7">
      <w:pPr>
        <w:jc w:val="center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第十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届恰佩克奖申报表（品牌奖）</w:t>
      </w:r>
    </w:p>
    <w:p w14:paraId="2696C9C5">
      <w:pPr>
        <w:jc w:val="center"/>
        <w:rPr>
          <w:rFonts w:ascii="黑体" w:hAnsi="黑体" w:eastAsia="黑体" w:cs="黑体"/>
          <w:bCs/>
          <w:color w:val="000000"/>
          <w:sz w:val="32"/>
          <w:szCs w:val="32"/>
        </w:rPr>
      </w:pPr>
    </w:p>
    <w:p w14:paraId="70FE052B">
      <w:pPr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9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2693"/>
        <w:gridCol w:w="999"/>
        <w:gridCol w:w="956"/>
        <w:gridCol w:w="2737"/>
      </w:tblGrid>
      <w:tr w14:paraId="06703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180" w:type="dxa"/>
            <w:vAlign w:val="center"/>
          </w:tcPr>
          <w:p w14:paraId="14A319C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385" w:type="dxa"/>
            <w:gridSpan w:val="4"/>
            <w:vAlign w:val="center"/>
          </w:tcPr>
          <w:p w14:paraId="26966D0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6A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180" w:type="dxa"/>
            <w:vAlign w:val="center"/>
          </w:tcPr>
          <w:p w14:paraId="0831649F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7385" w:type="dxa"/>
            <w:gridSpan w:val="4"/>
            <w:vAlign w:val="center"/>
          </w:tcPr>
          <w:p w14:paraId="033CF7B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35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180" w:type="dxa"/>
            <w:vAlign w:val="center"/>
          </w:tcPr>
          <w:p w14:paraId="06C65FA8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2693" w:type="dxa"/>
            <w:vAlign w:val="center"/>
          </w:tcPr>
          <w:p w14:paraId="018D1CA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191472FC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737" w:type="dxa"/>
            <w:vAlign w:val="center"/>
          </w:tcPr>
          <w:p w14:paraId="722DADC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99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80" w:type="dxa"/>
            <w:vAlign w:val="center"/>
          </w:tcPr>
          <w:p w14:paraId="6453C64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法人代表</w:t>
            </w:r>
          </w:p>
        </w:tc>
        <w:tc>
          <w:tcPr>
            <w:tcW w:w="2693" w:type="dxa"/>
            <w:vAlign w:val="center"/>
          </w:tcPr>
          <w:p w14:paraId="151A823F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2407965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在职员工数</w:t>
            </w:r>
          </w:p>
        </w:tc>
        <w:tc>
          <w:tcPr>
            <w:tcW w:w="2737" w:type="dxa"/>
            <w:vAlign w:val="center"/>
          </w:tcPr>
          <w:p w14:paraId="099A272B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C88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80" w:type="dxa"/>
            <w:vAlign w:val="center"/>
          </w:tcPr>
          <w:p w14:paraId="15896924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年度销售额</w:t>
            </w:r>
          </w:p>
        </w:tc>
        <w:tc>
          <w:tcPr>
            <w:tcW w:w="2693" w:type="dxa"/>
            <w:vAlign w:val="center"/>
          </w:tcPr>
          <w:p w14:paraId="69C35AF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5846337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年产品销售台/套数量</w:t>
            </w:r>
          </w:p>
        </w:tc>
        <w:tc>
          <w:tcPr>
            <w:tcW w:w="2737" w:type="dxa"/>
            <w:vAlign w:val="center"/>
          </w:tcPr>
          <w:p w14:paraId="142D9348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B4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80" w:type="dxa"/>
            <w:vAlign w:val="center"/>
          </w:tcPr>
          <w:p w14:paraId="123D45BF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研发人员占比</w:t>
            </w:r>
          </w:p>
        </w:tc>
        <w:tc>
          <w:tcPr>
            <w:tcW w:w="2693" w:type="dxa"/>
            <w:vAlign w:val="center"/>
          </w:tcPr>
          <w:p w14:paraId="13CFC7E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7B7F645F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年专利数量（含正在申请）</w:t>
            </w:r>
          </w:p>
        </w:tc>
        <w:tc>
          <w:tcPr>
            <w:tcW w:w="2737" w:type="dxa"/>
            <w:vAlign w:val="center"/>
          </w:tcPr>
          <w:p w14:paraId="293DF9A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67A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80" w:type="dxa"/>
            <w:vAlign w:val="center"/>
          </w:tcPr>
          <w:p w14:paraId="626DFAC7">
            <w:pPr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是否有技术中心（国家级、省级、地市级）</w:t>
            </w:r>
          </w:p>
        </w:tc>
        <w:tc>
          <w:tcPr>
            <w:tcW w:w="2693" w:type="dxa"/>
            <w:vAlign w:val="center"/>
          </w:tcPr>
          <w:p w14:paraId="5461C8D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134B9E9A">
            <w:pPr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是否参与标准制定（企业标准、团标、行业标准、国标、国际标准）</w:t>
            </w:r>
          </w:p>
        </w:tc>
        <w:tc>
          <w:tcPr>
            <w:tcW w:w="2737" w:type="dxa"/>
            <w:vAlign w:val="center"/>
          </w:tcPr>
          <w:p w14:paraId="7A661D91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B4D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80" w:type="dxa"/>
            <w:vAlign w:val="center"/>
          </w:tcPr>
          <w:p w14:paraId="56E4A68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联系人姓名</w:t>
            </w:r>
          </w:p>
        </w:tc>
        <w:tc>
          <w:tcPr>
            <w:tcW w:w="2693" w:type="dxa"/>
            <w:vAlign w:val="center"/>
          </w:tcPr>
          <w:p w14:paraId="6881AD6A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5BDEDDDE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737" w:type="dxa"/>
            <w:vAlign w:val="center"/>
          </w:tcPr>
          <w:p w14:paraId="36130D9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1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80" w:type="dxa"/>
            <w:vAlign w:val="center"/>
          </w:tcPr>
          <w:p w14:paraId="4552C298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93" w:type="dxa"/>
            <w:vAlign w:val="center"/>
          </w:tcPr>
          <w:p w14:paraId="3E3D6C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40E80D4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2737" w:type="dxa"/>
            <w:vAlign w:val="center"/>
          </w:tcPr>
          <w:p w14:paraId="4D6F49C0">
            <w:pPr>
              <w:ind w:firstLine="480" w:firstLineChars="20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47A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80" w:type="dxa"/>
            <w:vMerge w:val="restart"/>
            <w:vAlign w:val="center"/>
          </w:tcPr>
          <w:p w14:paraId="4CD0D30D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单位类别（单选）</w:t>
            </w:r>
          </w:p>
        </w:tc>
        <w:tc>
          <w:tcPr>
            <w:tcW w:w="7385" w:type="dxa"/>
            <w:gridSpan w:val="4"/>
            <w:vAlign w:val="center"/>
          </w:tcPr>
          <w:p w14:paraId="44E5C4B3">
            <w:pP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工业机器人（串联机器人、并联机器人、SCARA）</w:t>
            </w:r>
          </w:p>
        </w:tc>
      </w:tr>
      <w:tr w14:paraId="1B22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23860125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5D586FF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零部件（控制器、减速机、伺服电机、末端工具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Hans"/>
              </w:rPr>
              <w:t>传感器、</w:t>
            </w:r>
            <w:r>
              <w:rPr>
                <w:rFonts w:hint="eastAsia" w:ascii="宋体" w:hAnsi="宋体" w:cs="宋体"/>
                <w:sz w:val="24"/>
                <w:szCs w:val="24"/>
              </w:rPr>
              <w:t>其他）</w:t>
            </w:r>
          </w:p>
        </w:tc>
      </w:tr>
      <w:tr w14:paraId="15AC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25CEF14D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139AB8D3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系统集成商（一般工业、汽车、3C电子）</w:t>
            </w:r>
          </w:p>
        </w:tc>
      </w:tr>
      <w:tr w14:paraId="005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1BAB31F5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3144259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人形机器人</w:t>
            </w:r>
          </w:p>
        </w:tc>
      </w:tr>
      <w:tr w14:paraId="5CDAE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6E673B7B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6BBFB8E3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具身智能</w:t>
            </w:r>
          </w:p>
        </w:tc>
      </w:tr>
      <w:tr w14:paraId="50A7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00EA0680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5C23B58F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特种</w:t>
            </w:r>
            <w:r>
              <w:rPr>
                <w:rFonts w:hint="eastAsia" w:ascii="宋体" w:hAnsi="宋体" w:cs="宋体"/>
                <w:sz w:val="24"/>
                <w:szCs w:val="24"/>
              </w:rPr>
              <w:t>机器人</w:t>
            </w:r>
          </w:p>
        </w:tc>
      </w:tr>
      <w:tr w14:paraId="2E2B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541F13A6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5CA32FD8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移动</w:t>
            </w:r>
            <w:r>
              <w:rPr>
                <w:rFonts w:hint="eastAsia" w:ascii="宋体" w:hAnsi="宋体" w:cs="宋体"/>
                <w:sz w:val="24"/>
                <w:szCs w:val="24"/>
              </w:rPr>
              <w:t>机器人</w:t>
            </w:r>
          </w:p>
        </w:tc>
      </w:tr>
      <w:tr w14:paraId="6C99F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40A9BB56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7285DE36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协作机器人</w:t>
            </w:r>
          </w:p>
        </w:tc>
      </w:tr>
      <w:tr w14:paraId="179B5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4271FE31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77DA2F63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服务机器人</w:t>
            </w:r>
          </w:p>
        </w:tc>
      </w:tr>
      <w:tr w14:paraId="6BCF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13589D87">
            <w:pPr>
              <w:jc w:val="center"/>
            </w:pPr>
          </w:p>
        </w:tc>
        <w:tc>
          <w:tcPr>
            <w:tcW w:w="7385" w:type="dxa"/>
            <w:gridSpan w:val="4"/>
            <w:vAlign w:val="center"/>
          </w:tcPr>
          <w:p w14:paraId="0813F641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人工智能</w:t>
            </w:r>
          </w:p>
        </w:tc>
      </w:tr>
      <w:tr w14:paraId="4989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180" w:type="dxa"/>
            <w:vMerge w:val="restart"/>
            <w:vAlign w:val="center"/>
          </w:tcPr>
          <w:p w14:paraId="17000685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申报奖项（单选）</w:t>
            </w:r>
          </w:p>
          <w:p w14:paraId="2B56B97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sz w:val="2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奖项说明附后</w:t>
            </w:r>
          </w:p>
        </w:tc>
        <w:tc>
          <w:tcPr>
            <w:tcW w:w="3692" w:type="dxa"/>
            <w:gridSpan w:val="2"/>
            <w:vAlign w:val="center"/>
          </w:tcPr>
          <w:p w14:paraId="5F0B13FA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年度卓越品牌</w:t>
            </w:r>
          </w:p>
        </w:tc>
        <w:tc>
          <w:tcPr>
            <w:tcW w:w="3693" w:type="dxa"/>
            <w:gridSpan w:val="2"/>
            <w:vAlign w:val="center"/>
          </w:tcPr>
          <w:p w14:paraId="0F7669BE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年度价值品牌</w:t>
            </w:r>
          </w:p>
        </w:tc>
      </w:tr>
      <w:tr w14:paraId="787AF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180" w:type="dxa"/>
            <w:vMerge w:val="continue"/>
            <w:vAlign w:val="center"/>
          </w:tcPr>
          <w:p w14:paraId="63F5128B">
            <w:pPr>
              <w:spacing w:line="520" w:lineRule="exact"/>
              <w:jc w:val="left"/>
            </w:pPr>
          </w:p>
        </w:tc>
        <w:tc>
          <w:tcPr>
            <w:tcW w:w="3692" w:type="dxa"/>
            <w:gridSpan w:val="2"/>
            <w:vAlign w:val="center"/>
          </w:tcPr>
          <w:p w14:paraId="05AA5A46"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□ 年度创新品牌</w:t>
            </w:r>
          </w:p>
        </w:tc>
        <w:tc>
          <w:tcPr>
            <w:tcW w:w="3693" w:type="dxa"/>
            <w:gridSpan w:val="2"/>
            <w:vAlign w:val="center"/>
          </w:tcPr>
          <w:p w14:paraId="341FC9AE">
            <w:pPr>
              <w:spacing w:line="52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 年度新锐品牌</w:t>
            </w:r>
          </w:p>
        </w:tc>
      </w:tr>
      <w:tr w14:paraId="1536F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4" w:hRule="atLeast"/>
          <w:jc w:val="center"/>
        </w:trPr>
        <w:tc>
          <w:tcPr>
            <w:tcW w:w="2180" w:type="dxa"/>
            <w:vAlign w:val="center"/>
          </w:tcPr>
          <w:p w14:paraId="317FDD7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单位介绍</w:t>
            </w:r>
          </w:p>
        </w:tc>
        <w:tc>
          <w:tcPr>
            <w:tcW w:w="7385" w:type="dxa"/>
            <w:gridSpan w:val="4"/>
          </w:tcPr>
          <w:p w14:paraId="0A14C083">
            <w:pP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60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2180" w:type="dxa"/>
            <w:vAlign w:val="center"/>
          </w:tcPr>
          <w:p w14:paraId="6F4C73F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参评理由</w:t>
            </w:r>
          </w:p>
          <w:p w14:paraId="7B2F52C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808080" w:themeColor="text1" w:themeTint="80"/>
                <w:sz w:val="2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（请参考奖项说明）</w:t>
            </w:r>
          </w:p>
        </w:tc>
        <w:tc>
          <w:tcPr>
            <w:tcW w:w="7385" w:type="dxa"/>
            <w:gridSpan w:val="4"/>
          </w:tcPr>
          <w:p w14:paraId="73673A1B">
            <w:pPr>
              <w:jc w:val="lef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1D2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180" w:type="dxa"/>
            <w:vAlign w:val="center"/>
          </w:tcPr>
          <w:p w14:paraId="09A371D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企业诚信声明</w:t>
            </w:r>
          </w:p>
        </w:tc>
        <w:tc>
          <w:tcPr>
            <w:tcW w:w="7385" w:type="dxa"/>
            <w:gridSpan w:val="4"/>
          </w:tcPr>
          <w:p w14:paraId="3DF296A7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我司自愿参加第十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届恰佩克奖评选，自觉遵守评选规则，保证所填写信息和提供材料均真实有效，无任何虚假申报情况，并接受恰佩克奖评委会的审核和监督，如有失实或失信行为，我司愿承担由此带来的一切后果。</w:t>
            </w:r>
          </w:p>
          <w:p w14:paraId="56C3CB00">
            <w:pPr>
              <w:spacing w:line="360" w:lineRule="auto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单位盖章</w:t>
            </w:r>
          </w:p>
          <w:p w14:paraId="27F153E2">
            <w:pPr>
              <w:wordWrap w:val="0"/>
              <w:jc w:val="righ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  <w:tr w14:paraId="56EC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180" w:type="dxa"/>
            <w:vAlign w:val="center"/>
          </w:tcPr>
          <w:p w14:paraId="7341053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填报说明</w:t>
            </w:r>
          </w:p>
        </w:tc>
        <w:tc>
          <w:tcPr>
            <w:tcW w:w="7385" w:type="dxa"/>
            <w:gridSpan w:val="4"/>
          </w:tcPr>
          <w:p w14:paraId="335748EA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申报人请如实填写，并对填写内容真实性负责。</w:t>
            </w:r>
          </w:p>
          <w:p w14:paraId="7CD2725E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恰佩克奖始终本着公平、公正、公开的原则，根据网络和评委会评选相结合，产生获奖单位和个人。组委会郑重声明不对外泄露所填信息！</w:t>
            </w:r>
          </w:p>
          <w:p w14:paraId="35991051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组委会工作人员：</w:t>
            </w:r>
          </w:p>
          <w:p w14:paraId="4B1436F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姓名：慕老师 微信电话：</w:t>
            </w:r>
            <w:r>
              <w:rPr>
                <w:rFonts w:ascii="宋体" w:hAnsi="宋体" w:cs="宋体"/>
                <w:sz w:val="24"/>
                <w:szCs w:val="24"/>
              </w:rPr>
              <w:t>15901767989</w:t>
            </w:r>
          </w:p>
          <w:p w14:paraId="4170728F">
            <w:pPr>
              <w:spacing w:line="360" w:lineRule="auto"/>
              <w:jc w:val="left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姓名：金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金 微信电话：13661562605 </w:t>
            </w:r>
          </w:p>
        </w:tc>
      </w:tr>
      <w:tr w14:paraId="2A95B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9565" w:type="dxa"/>
            <w:gridSpan w:val="5"/>
          </w:tcPr>
          <w:p w14:paraId="02C909B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注意事项：</w:t>
            </w:r>
          </w:p>
          <w:p w14:paraId="099AFAC5">
            <w:pPr>
              <w:pStyle w:val="11"/>
              <w:spacing w:line="360" w:lineRule="auto"/>
              <w:jc w:val="both"/>
              <w:rPr>
                <w:rFonts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请在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val="en-US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前将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申报表（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word电子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版本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企业logo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（AI、PS、CDR格式源文件）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、产品介绍等资料打包发送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至组委会邮箱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capek@robot-china.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val="en-US"/>
              </w:rPr>
              <w:t>com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并打印此表签字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快递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至委员会（谢绝到付），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逾期将不予受理。</w:t>
            </w:r>
          </w:p>
          <w:p w14:paraId="65ED1E67">
            <w:pPr>
              <w:pStyle w:val="11"/>
              <w:spacing w:line="360" w:lineRule="auto"/>
              <w:jc w:val="both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收件信息：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慕老师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15901767989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上海市嘉定区沪宜公路3</w:t>
            </w: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99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</w:t>
            </w:r>
            <w:r>
              <w:rPr>
                <w:rFonts w:ascii="宋体" w:hAnsi="宋体" w:eastAsia="宋体" w:cs="宋体"/>
                <w:sz w:val="24"/>
                <w:szCs w:val="24"/>
                <w:lang w:val="en-US"/>
              </w:rPr>
              <w:t>906</w:t>
            </w:r>
          </w:p>
        </w:tc>
      </w:tr>
    </w:tbl>
    <w:p w14:paraId="1A04CC04">
      <w:r>
        <w:br w:type="page"/>
      </w:r>
    </w:p>
    <w:p w14:paraId="268264B9"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附件说明</w:t>
      </w:r>
      <w:r>
        <w:rPr>
          <w:rFonts w:hint="eastAsia"/>
          <w:b/>
          <w:bCs/>
          <w:lang w:eastAsia="zh-CN"/>
        </w:rPr>
        <w:t>：（</w:t>
      </w:r>
      <w:r>
        <w:rPr>
          <w:rFonts w:hint="eastAsia"/>
          <w:b/>
          <w:bCs/>
        </w:rPr>
        <w:t>以下文本为告知内容，非</w:t>
      </w:r>
      <w:r>
        <w:rPr>
          <w:rFonts w:hint="eastAsia"/>
          <w:b/>
          <w:bCs/>
          <w:lang w:val="en-US" w:eastAsia="zh-CN"/>
        </w:rPr>
        <w:t>申报</w:t>
      </w:r>
      <w:r>
        <w:rPr>
          <w:rFonts w:hint="eastAsia"/>
          <w:b/>
          <w:bCs/>
        </w:rPr>
        <w:t>提交内容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不需要打印</w:t>
      </w:r>
      <w:r>
        <w:rPr>
          <w:rFonts w:hint="eastAsia"/>
          <w:b/>
          <w:bCs/>
          <w:lang w:eastAsia="zh-CN"/>
        </w:rPr>
        <w:t>）</w:t>
      </w:r>
    </w:p>
    <w:tbl>
      <w:tblPr>
        <w:tblStyle w:val="8"/>
        <w:tblpPr w:leftFromText="180" w:rightFromText="180" w:vertAnchor="text" w:horzAnchor="page" w:tblpX="907" w:tblpY="179"/>
        <w:tblOverlap w:val="never"/>
        <w:tblW w:w="10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690"/>
        <w:gridCol w:w="7800"/>
      </w:tblGrid>
      <w:tr w14:paraId="6C15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60" w:type="dxa"/>
            <w:gridSpan w:val="3"/>
            <w:vAlign w:val="center"/>
          </w:tcPr>
          <w:p w14:paraId="09F79F25">
            <w:pPr>
              <w:jc w:val="center"/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品牌奖·奖项申报条件说明</w:t>
            </w:r>
          </w:p>
        </w:tc>
      </w:tr>
      <w:tr w14:paraId="74606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770" w:type="dxa"/>
            <w:vMerge w:val="restart"/>
            <w:textDirection w:val="tbLrV"/>
            <w:vAlign w:val="center"/>
          </w:tcPr>
          <w:p w14:paraId="00614EB0">
            <w:pPr>
              <w:ind w:left="113" w:right="113"/>
              <w:jc w:val="center"/>
              <w:rPr>
                <w:rFonts w:ascii="黑体" w:hAnsi="黑体" w:eastAsia="黑体" w:cs="黑体"/>
                <w:color w:val="000000" w:themeColor="text1"/>
                <w:sz w:val="36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28"/>
                <w14:textFill>
                  <w14:solidFill>
                    <w14:schemeClr w14:val="tx1"/>
                  </w14:solidFill>
                </w14:textFill>
              </w:rPr>
              <w:t>工业机器人</w:t>
            </w:r>
          </w:p>
        </w:tc>
        <w:tc>
          <w:tcPr>
            <w:tcW w:w="1690" w:type="dxa"/>
            <w:vAlign w:val="center"/>
          </w:tcPr>
          <w:p w14:paraId="2FBFDE9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42B342B9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1.企业（全球）职员人数在1,000人以上或公司全球年度销售额超过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亿；</w:t>
            </w:r>
          </w:p>
          <w:p w14:paraId="4900B5E9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2.企业注册资金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000万</w:t>
            </w:r>
            <w:r>
              <w:rPr>
                <w:rFonts w:hint="eastAsia" w:ascii="仿宋" w:hAnsi="仿宋" w:eastAsia="仿宋"/>
                <w:bCs/>
                <w:szCs w:val="21"/>
              </w:rPr>
              <w:t>及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年1月1日前注册成立10年及以上；</w:t>
            </w:r>
          </w:p>
          <w:p w14:paraId="0A87E0F7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3.守法经营、依法纳税、信诺履约，劳动关系和谐，有良好信誉记录；</w:t>
            </w:r>
          </w:p>
          <w:p w14:paraId="44189557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4.企业具有良好的公众形象，积极承担社会责任，获得广泛认可和好评；</w:t>
            </w:r>
          </w:p>
          <w:p w14:paraId="00FFBAF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7224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770" w:type="dxa"/>
            <w:vMerge w:val="continue"/>
          </w:tcPr>
          <w:p w14:paraId="6212451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Align w:val="center"/>
          </w:tcPr>
          <w:p w14:paraId="7AF6F953">
            <w:pPr>
              <w:jc w:val="center"/>
              <w:rPr>
                <w:rFonts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76E247BC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1.企业注册资金500万</w:t>
            </w:r>
            <w:r>
              <w:rPr>
                <w:rFonts w:hint="eastAsia" w:ascii="仿宋" w:hAnsi="仿宋" w:eastAsia="仿宋"/>
                <w:bCs/>
                <w:szCs w:val="21"/>
              </w:rPr>
              <w:t>及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年1月1日前注册成立3年及以上；</w:t>
            </w:r>
          </w:p>
          <w:p w14:paraId="2891BC7B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2.守法经营、依法纳税、信诺履约，劳动关系和谐，有良好信誉记录；</w:t>
            </w:r>
          </w:p>
          <w:p w14:paraId="3A15868B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3.企业符合现代企业制度规范，主营业务清晰、拥有独特的技术优势或独享资源；</w:t>
            </w:r>
          </w:p>
          <w:p w14:paraId="07F8FAC2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4.经营业绩突出，主要经济指标位于本行业前列，企业具有快速成长性和可持续发展的前景。</w:t>
            </w:r>
          </w:p>
        </w:tc>
      </w:tr>
      <w:tr w14:paraId="0D4C1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770" w:type="dxa"/>
            <w:vMerge w:val="continue"/>
          </w:tcPr>
          <w:p w14:paraId="03BBEF6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Align w:val="center"/>
          </w:tcPr>
          <w:p w14:paraId="707281CA">
            <w:pPr>
              <w:jc w:val="center"/>
              <w:rPr>
                <w:rFonts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74FCDC25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1.企业研发人员占总职员比例超25%；</w:t>
            </w:r>
          </w:p>
          <w:p w14:paraId="0ECB8358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年专利数量（含正在申请）超过3个；</w:t>
            </w:r>
          </w:p>
          <w:p w14:paraId="37F63ECF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3.企业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年发布至少1款新产品；</w:t>
            </w:r>
          </w:p>
          <w:p w14:paraId="5A19DBAB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4.守法经营、依法纳税、信诺履约，劳动关系和谐，有良好信誉记录。</w:t>
            </w:r>
          </w:p>
        </w:tc>
      </w:tr>
      <w:tr w14:paraId="182CD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770" w:type="dxa"/>
            <w:vMerge w:val="continue"/>
          </w:tcPr>
          <w:p w14:paraId="0213511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Align w:val="center"/>
          </w:tcPr>
          <w:p w14:paraId="269CB7CA">
            <w:pPr>
              <w:jc w:val="center"/>
              <w:rPr>
                <w:rFonts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2FBA94A2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1.企业注册资金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00万及以上，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年1月1日前注册成立低于5年的企业；</w:t>
            </w:r>
          </w:p>
          <w:p w14:paraId="6BD9EF06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2.企业拥有自主知识产权；</w:t>
            </w:r>
          </w:p>
          <w:p w14:paraId="0DC55833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3.守法经营、依法纳税、信诺履约，劳动关系和谐，有良好信誉记录。</w:t>
            </w:r>
          </w:p>
        </w:tc>
      </w:tr>
      <w:tr w14:paraId="6B770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770" w:type="dxa"/>
            <w:vMerge w:val="restart"/>
            <w:textDirection w:val="tbLrV"/>
            <w:vAlign w:val="center"/>
          </w:tcPr>
          <w:p w14:paraId="0CC98B63">
            <w:pPr>
              <w:ind w:left="113" w:right="113"/>
              <w:jc w:val="center"/>
              <w:rPr>
                <w:rFonts w:ascii="黑体" w:hAnsi="黑体" w:eastAsia="黑体" w:cs="黑体"/>
                <w:color w:val="000000" w:themeColor="text1"/>
                <w:sz w:val="36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28"/>
                <w14:textFill>
                  <w14:solidFill>
                    <w14:schemeClr w14:val="tx1"/>
                  </w14:solidFill>
                </w14:textFill>
              </w:rPr>
              <w:t>协作机器人</w:t>
            </w:r>
          </w:p>
        </w:tc>
        <w:tc>
          <w:tcPr>
            <w:tcW w:w="1690" w:type="dxa"/>
            <w:vAlign w:val="center"/>
          </w:tcPr>
          <w:p w14:paraId="55B3C59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77B99708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1.企业（全球）职员人数在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,00人以上或公司全球年度销售额超过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000万；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2.企业注册资金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000万</w:t>
            </w:r>
            <w:r>
              <w:rPr>
                <w:rFonts w:hint="eastAsia" w:ascii="仿宋" w:hAnsi="仿宋" w:eastAsia="仿宋"/>
                <w:bCs/>
                <w:szCs w:val="21"/>
              </w:rPr>
              <w:t>及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年及以上；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4.企业具有良好的公众形象，积极承担社会责任，获得广泛认可和好评；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1B1D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770" w:type="dxa"/>
            <w:vMerge w:val="continue"/>
          </w:tcPr>
          <w:p w14:paraId="431DBBF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Align w:val="center"/>
          </w:tcPr>
          <w:p w14:paraId="61DE3C36">
            <w:pPr>
              <w:jc w:val="center"/>
              <w:rPr>
                <w:rFonts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1962A59F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1.企业注册资金500万</w:t>
            </w:r>
            <w:r>
              <w:rPr>
                <w:rFonts w:hint="eastAsia" w:ascii="仿宋" w:hAnsi="仿宋" w:eastAsia="仿宋"/>
                <w:bCs/>
                <w:szCs w:val="21"/>
              </w:rPr>
              <w:t>及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年1月1日前注册成立3年及以上；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3.企业符合现代企业制度规范，主营业务清晰、拥有独特的技术优势或独享资源；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4.经营业绩突出，主要经济指标位于本行业前列，企业具有快速成长性和可持续发展的前景。</w:t>
            </w:r>
          </w:p>
        </w:tc>
      </w:tr>
      <w:tr w14:paraId="7EB3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770" w:type="dxa"/>
            <w:vMerge w:val="continue"/>
          </w:tcPr>
          <w:p w14:paraId="6E402BA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Align w:val="center"/>
          </w:tcPr>
          <w:p w14:paraId="6B3FA6CA">
            <w:pPr>
              <w:jc w:val="center"/>
              <w:rPr>
                <w:rFonts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61DA00B1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年专利数量（含正在申请）超过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3.企业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年发布至少1款新产品；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4.守法经营、依法纳税、信诺履约，劳动关系和谐，有良好信誉记录。</w:t>
            </w:r>
          </w:p>
        </w:tc>
      </w:tr>
      <w:tr w14:paraId="6DEE1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770" w:type="dxa"/>
            <w:vMerge w:val="continue"/>
          </w:tcPr>
          <w:p w14:paraId="09847B2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vAlign w:val="center"/>
          </w:tcPr>
          <w:p w14:paraId="298AB23C">
            <w:pPr>
              <w:jc w:val="center"/>
              <w:rPr>
                <w:rFonts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2"/>
                <w14:textFill>
                  <w14:solidFill>
                    <w14:schemeClr w14:val="tx1"/>
                  </w14:solidFill>
                </w14:textFill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0E59284E">
            <w:pP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1.企业注册资金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00万及以上，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年1月1日前注册成立低于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年的企业；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3.守法经营、依法纳税、信诺履约，劳动关系和谐，有良好信誉记录。</w:t>
            </w:r>
          </w:p>
        </w:tc>
      </w:tr>
    </w:tbl>
    <w:p w14:paraId="0B333AB7"/>
    <w:tbl>
      <w:tblPr>
        <w:tblStyle w:val="8"/>
        <w:tblpPr w:leftFromText="180" w:rightFromText="180" w:vertAnchor="text" w:horzAnchor="page" w:tblpXSpec="center" w:tblpY="179"/>
        <w:tblOverlap w:val="never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690"/>
        <w:gridCol w:w="7800"/>
      </w:tblGrid>
      <w:tr w14:paraId="23C0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770" w:type="dxa"/>
            <w:vMerge w:val="restart"/>
            <w:textDirection w:val="tbLrV"/>
            <w:vAlign w:val="center"/>
          </w:tcPr>
          <w:p w14:paraId="41DE1F36">
            <w:pPr>
              <w:ind w:left="113" w:right="113"/>
              <w:jc w:val="center"/>
              <w:rPr>
                <w:rFonts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移动</w:t>
            </w:r>
            <w:r>
              <w:rPr>
                <w:rFonts w:hint="eastAsia" w:ascii="黑体" w:hAnsi="黑体" w:eastAsia="黑体" w:cs="黑体"/>
                <w:sz w:val="32"/>
                <w:szCs w:val="28"/>
                <w:lang w:val="en-US" w:eastAsia="zh-CN"/>
              </w:rPr>
              <w:t>/特种</w:t>
            </w:r>
            <w:r>
              <w:rPr>
                <w:rFonts w:hint="eastAsia" w:ascii="黑体" w:hAnsi="黑体" w:eastAsia="黑体" w:cs="黑体"/>
                <w:sz w:val="32"/>
                <w:szCs w:val="28"/>
              </w:rPr>
              <w:t>机器人</w:t>
            </w:r>
          </w:p>
        </w:tc>
        <w:tc>
          <w:tcPr>
            <w:tcW w:w="1690" w:type="dxa"/>
            <w:vAlign w:val="center"/>
          </w:tcPr>
          <w:p w14:paraId="5F1DD557">
            <w:pPr>
              <w:jc w:val="center"/>
            </w:pPr>
            <w:r>
              <w:rPr>
                <w:rFonts w:hint="eastAsia" w:ascii="黑体" w:hAnsi="黑体" w:eastAsia="黑体" w:cs="黑体"/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60B723EA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1.企业（全球）职员人数在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00人以上或公司全球年度销售额超过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2亿</w:t>
            </w:r>
            <w:r>
              <w:rPr>
                <w:rFonts w:hint="eastAsia" w:ascii="仿宋" w:hAnsi="仿宋" w:eastAsia="仿宋"/>
                <w:bCs/>
                <w:szCs w:val="21"/>
              </w:rPr>
              <w:t>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4.企业具有良好的公众形象，积极承担社会责任，获得广泛认可和好评；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3EF4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70" w:type="dxa"/>
            <w:vMerge w:val="continue"/>
          </w:tcPr>
          <w:p w14:paraId="580D6DE1"/>
        </w:tc>
        <w:tc>
          <w:tcPr>
            <w:tcW w:w="1690" w:type="dxa"/>
            <w:vAlign w:val="center"/>
          </w:tcPr>
          <w:p w14:paraId="27BD8E44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24AA6233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1.企业注册资金500万及以上，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3.企业符合现代企业制度规范，主营业务清晰、拥有独特的技术优势或独享资源；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4.经营业绩突出，主要经济指标位于本行业前列，企业具有快速成长性和可持续发展的前景。</w:t>
            </w:r>
          </w:p>
        </w:tc>
      </w:tr>
      <w:tr w14:paraId="321A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770" w:type="dxa"/>
            <w:vMerge w:val="continue"/>
          </w:tcPr>
          <w:p w14:paraId="6FD01FF1"/>
        </w:tc>
        <w:tc>
          <w:tcPr>
            <w:tcW w:w="1690" w:type="dxa"/>
            <w:vAlign w:val="center"/>
          </w:tcPr>
          <w:p w14:paraId="6D7C4898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0AEAD8C0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年专利数量（含正在申请）超过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年发布至少1款新产品；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4.守法经营、依法纳税、信诺履约，劳动关系和谐，有良好信誉记录。</w:t>
            </w:r>
          </w:p>
        </w:tc>
      </w:tr>
      <w:tr w14:paraId="6943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770" w:type="dxa"/>
            <w:vMerge w:val="continue"/>
          </w:tcPr>
          <w:p w14:paraId="0F5579C5"/>
        </w:tc>
        <w:tc>
          <w:tcPr>
            <w:tcW w:w="1690" w:type="dxa"/>
            <w:vAlign w:val="center"/>
          </w:tcPr>
          <w:p w14:paraId="71C1092E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239D6A76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年1月1日前注册成立低于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年的企业；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3.守法经营、依法纳税、信诺履约，劳动关系和谐，有良好信誉记录。</w:t>
            </w:r>
          </w:p>
        </w:tc>
      </w:tr>
      <w:tr w14:paraId="7006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770" w:type="dxa"/>
            <w:vMerge w:val="restart"/>
            <w:textDirection w:val="tbLrV"/>
            <w:vAlign w:val="center"/>
          </w:tcPr>
          <w:p w14:paraId="127D188E">
            <w:pPr>
              <w:ind w:left="113" w:right="113"/>
              <w:jc w:val="center"/>
              <w:rPr>
                <w:rFonts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服务机器人</w:t>
            </w:r>
          </w:p>
        </w:tc>
        <w:tc>
          <w:tcPr>
            <w:tcW w:w="1690" w:type="dxa"/>
            <w:vAlign w:val="center"/>
          </w:tcPr>
          <w:p w14:paraId="327AC059">
            <w:pPr>
              <w:jc w:val="center"/>
            </w:pPr>
            <w:r>
              <w:rPr>
                <w:rFonts w:hint="eastAsia" w:ascii="黑体" w:hAnsi="黑体" w:eastAsia="黑体" w:cs="黑体"/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6AE0ABFC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1.企业（全球）职员人数在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00人以上或公司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年全球销售额超过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2亿</w:t>
            </w:r>
            <w:r>
              <w:rPr>
                <w:rFonts w:hint="eastAsia" w:ascii="仿宋" w:hAnsi="仿宋" w:eastAsia="仿宋"/>
                <w:bCs/>
                <w:szCs w:val="21"/>
              </w:rPr>
              <w:t>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2.企业注册资金1000万及以上，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4.企业具有良好的公众形象，积极承担社会责任，获得广泛认可和好评；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130E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770" w:type="dxa"/>
            <w:vMerge w:val="continue"/>
          </w:tcPr>
          <w:p w14:paraId="4B3E5EFF"/>
        </w:tc>
        <w:tc>
          <w:tcPr>
            <w:tcW w:w="1690" w:type="dxa"/>
            <w:vAlign w:val="center"/>
          </w:tcPr>
          <w:p w14:paraId="79B87A19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78277CBB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1.企业注册资金500万及以上，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年1月1日前注册成立3年及以上；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3.企业符合现代企业制度规范，主营业务清晰、拥有独特的技术优势或独享资源；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4.经营业绩突出，主要经济指标位于本行业前列，企业具有快速成长性和可持续发展的前景。</w:t>
            </w:r>
          </w:p>
        </w:tc>
      </w:tr>
      <w:tr w14:paraId="5DA9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770" w:type="dxa"/>
            <w:vMerge w:val="continue"/>
          </w:tcPr>
          <w:p w14:paraId="3D28EEEB"/>
        </w:tc>
        <w:tc>
          <w:tcPr>
            <w:tcW w:w="1690" w:type="dxa"/>
            <w:vAlign w:val="center"/>
          </w:tcPr>
          <w:p w14:paraId="5B80D20D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5A24DB22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年专利数量（含正在申请）超过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年发布至少1款新产品；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4.守法经营、依法纳税、信诺履约，劳动关系和谐，有良好信誉记录。</w:t>
            </w:r>
          </w:p>
        </w:tc>
      </w:tr>
      <w:tr w14:paraId="4C2E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770" w:type="dxa"/>
            <w:vMerge w:val="continue"/>
          </w:tcPr>
          <w:p w14:paraId="1EF71B5D"/>
        </w:tc>
        <w:tc>
          <w:tcPr>
            <w:tcW w:w="1690" w:type="dxa"/>
            <w:vAlign w:val="center"/>
          </w:tcPr>
          <w:p w14:paraId="416491BA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2F84256A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年1月1日前注册成立低于5年的企业；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3.守法经营、依法纳税、信诺履约，劳动关系和谐，有良好信誉记录。</w:t>
            </w:r>
          </w:p>
        </w:tc>
      </w:tr>
    </w:tbl>
    <w:p w14:paraId="60EEA2B9"/>
    <w:tbl>
      <w:tblPr>
        <w:tblStyle w:val="8"/>
        <w:tblpPr w:leftFromText="180" w:rightFromText="180" w:vertAnchor="text" w:horzAnchor="page" w:tblpXSpec="center" w:tblpY="1"/>
        <w:tblOverlap w:val="never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690"/>
        <w:gridCol w:w="7800"/>
      </w:tblGrid>
      <w:tr w14:paraId="5364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770" w:type="dxa"/>
            <w:vMerge w:val="restart"/>
            <w:textDirection w:val="tbLrV"/>
            <w:vAlign w:val="center"/>
          </w:tcPr>
          <w:p w14:paraId="335488FA">
            <w:pPr>
              <w:ind w:left="113" w:right="113"/>
              <w:jc w:val="center"/>
              <w:rPr>
                <w:rFonts w:hint="default" w:ascii="黑体" w:hAnsi="黑体" w:eastAsia="黑体" w:cs="黑体"/>
                <w:sz w:val="32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人工智能</w:t>
            </w:r>
          </w:p>
        </w:tc>
        <w:tc>
          <w:tcPr>
            <w:tcW w:w="1690" w:type="dxa"/>
            <w:vAlign w:val="center"/>
          </w:tcPr>
          <w:p w14:paraId="22B34E48">
            <w:pPr>
              <w:jc w:val="center"/>
            </w:pPr>
            <w:r>
              <w:rPr>
                <w:rFonts w:hint="eastAsia" w:ascii="黑体" w:hAnsi="黑体" w:eastAsia="黑体" w:cs="黑体"/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4E17146D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1.企业（全球）职员人数在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00人以上或公司全球年度销售额超过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2亿</w:t>
            </w:r>
            <w:r>
              <w:rPr>
                <w:rFonts w:hint="eastAsia" w:ascii="仿宋" w:hAnsi="仿宋" w:eastAsia="仿宋"/>
                <w:bCs/>
                <w:szCs w:val="21"/>
              </w:rPr>
              <w:t>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4.企业具有良好的公众形象，积极承担社会责任，获得广泛认可和好评；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53ACB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3" w:hRule="atLeast"/>
          <w:jc w:val="center"/>
        </w:trPr>
        <w:tc>
          <w:tcPr>
            <w:tcW w:w="770" w:type="dxa"/>
            <w:vMerge w:val="continue"/>
          </w:tcPr>
          <w:p w14:paraId="69A01E18"/>
        </w:tc>
        <w:tc>
          <w:tcPr>
            <w:tcW w:w="1690" w:type="dxa"/>
            <w:vAlign w:val="center"/>
          </w:tcPr>
          <w:p w14:paraId="70E69A2F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25CC68E5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1.企业注册资金500万以上，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年1月1日前注册成立3年及以上；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3.企业符合现代企业制度规范，主营业务清晰、拥有独特的技术优势或独享资源；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4.经营业绩突出，主要经济指标位于本行业前列，企业具有快速成长性和可持续发展的前景。</w:t>
            </w:r>
          </w:p>
        </w:tc>
      </w:tr>
      <w:tr w14:paraId="2812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770" w:type="dxa"/>
            <w:vMerge w:val="continue"/>
          </w:tcPr>
          <w:p w14:paraId="23DC7599"/>
        </w:tc>
        <w:tc>
          <w:tcPr>
            <w:tcW w:w="1690" w:type="dxa"/>
            <w:vAlign w:val="center"/>
          </w:tcPr>
          <w:p w14:paraId="18414833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2FE19D00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年专利数量（含正在申请）超过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年发布至少1款新产品；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4.守法经营、依法纳税、信诺履约，劳动关系和谐，有良好信誉记录。</w:t>
            </w:r>
          </w:p>
        </w:tc>
      </w:tr>
      <w:tr w14:paraId="671F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770" w:type="dxa"/>
            <w:vMerge w:val="continue"/>
          </w:tcPr>
          <w:p w14:paraId="04880B50"/>
        </w:tc>
        <w:tc>
          <w:tcPr>
            <w:tcW w:w="1690" w:type="dxa"/>
            <w:vAlign w:val="center"/>
          </w:tcPr>
          <w:p w14:paraId="5B0AF7F4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613C11BE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年1月1日前注册成立低于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年的企业；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3.守法经营、依法纳税、信诺履约，劳动关系和谐，有良好信誉记录。</w:t>
            </w:r>
          </w:p>
        </w:tc>
      </w:tr>
      <w:tr w14:paraId="79C98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770" w:type="dxa"/>
            <w:vMerge w:val="restart"/>
            <w:textDirection w:val="tbLrV"/>
            <w:vAlign w:val="center"/>
          </w:tcPr>
          <w:p w14:paraId="1C9B80CC">
            <w:pPr>
              <w:ind w:left="113" w:right="113"/>
              <w:jc w:val="center"/>
              <w:rPr>
                <w:rFonts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零部件</w:t>
            </w:r>
          </w:p>
        </w:tc>
        <w:tc>
          <w:tcPr>
            <w:tcW w:w="1690" w:type="dxa"/>
            <w:vAlign w:val="center"/>
          </w:tcPr>
          <w:p w14:paraId="60D71056">
            <w:pPr>
              <w:jc w:val="center"/>
            </w:pPr>
            <w:r>
              <w:rPr>
                <w:rFonts w:hint="eastAsia" w:ascii="黑体" w:hAnsi="黑体" w:eastAsia="黑体" w:cs="黑体"/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6105A659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1.企业（全球）职员人数在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00人以上或公司全球年度销售额超过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2亿</w:t>
            </w:r>
            <w:r>
              <w:rPr>
                <w:rFonts w:hint="eastAsia" w:ascii="仿宋" w:hAnsi="仿宋" w:eastAsia="仿宋"/>
                <w:bCs/>
                <w:szCs w:val="21"/>
              </w:rPr>
              <w:t>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000万以上，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4.企业具有良好的公众形象，积极承担社会责任，获得广泛认可和好评；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170A3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  <w:jc w:val="center"/>
        </w:trPr>
        <w:tc>
          <w:tcPr>
            <w:tcW w:w="770" w:type="dxa"/>
            <w:vMerge w:val="continue"/>
          </w:tcPr>
          <w:p w14:paraId="795A629A"/>
        </w:tc>
        <w:tc>
          <w:tcPr>
            <w:tcW w:w="1690" w:type="dxa"/>
            <w:vAlign w:val="center"/>
          </w:tcPr>
          <w:p w14:paraId="2B4D7F97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34A6B1AE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1.企业注册资金500万以上，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年1月1日前注册成立3年及以上；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3.企业符合现代企业制度规范，主营业务清晰、拥有独特的技术优势或独享资源；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4.经营业绩突出，主要经济指标位于本行业前列，企业具有快速成长性和可持续发展的前景。</w:t>
            </w:r>
          </w:p>
        </w:tc>
      </w:tr>
      <w:tr w14:paraId="51EC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770" w:type="dxa"/>
            <w:vMerge w:val="continue"/>
          </w:tcPr>
          <w:p w14:paraId="36DA3B02"/>
        </w:tc>
        <w:tc>
          <w:tcPr>
            <w:tcW w:w="1690" w:type="dxa"/>
            <w:vAlign w:val="center"/>
          </w:tcPr>
          <w:p w14:paraId="2FE750A2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39609A0D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年专利数量（含正在申请）超过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年发布至少1款新产品；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4.守法经营、依法纳税、信诺履约，劳动关系和谐，有良好信誉记录。</w:t>
            </w:r>
          </w:p>
        </w:tc>
      </w:tr>
      <w:tr w14:paraId="537C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770" w:type="dxa"/>
            <w:vMerge w:val="continue"/>
          </w:tcPr>
          <w:p w14:paraId="027C0E2B"/>
        </w:tc>
        <w:tc>
          <w:tcPr>
            <w:tcW w:w="1690" w:type="dxa"/>
            <w:vAlign w:val="center"/>
          </w:tcPr>
          <w:p w14:paraId="09E74B48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535F2E89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年1月1日前注册成立低于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年的企业；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3.守法经营、依法纳税、信诺履约，劳动关系和谐，有良好信誉记录。</w:t>
            </w:r>
          </w:p>
        </w:tc>
      </w:tr>
    </w:tbl>
    <w:p w14:paraId="69AD50AF"/>
    <w:tbl>
      <w:tblPr>
        <w:tblStyle w:val="8"/>
        <w:tblpPr w:leftFromText="180" w:rightFromText="180" w:vertAnchor="text" w:horzAnchor="page" w:tblpXSpec="center" w:tblpY="1"/>
        <w:tblOverlap w:val="never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690"/>
        <w:gridCol w:w="7800"/>
      </w:tblGrid>
      <w:tr w14:paraId="71C9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7" w:hRule="atLeast"/>
          <w:jc w:val="center"/>
        </w:trPr>
        <w:tc>
          <w:tcPr>
            <w:tcW w:w="770" w:type="dxa"/>
            <w:vMerge w:val="restart"/>
            <w:textDirection w:val="tbLrV"/>
            <w:vAlign w:val="center"/>
          </w:tcPr>
          <w:p w14:paraId="104EF076">
            <w:pPr>
              <w:ind w:left="113" w:right="113"/>
              <w:jc w:val="center"/>
              <w:rPr>
                <w:rFonts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集成商</w:t>
            </w:r>
          </w:p>
        </w:tc>
        <w:tc>
          <w:tcPr>
            <w:tcW w:w="1690" w:type="dxa"/>
            <w:vAlign w:val="center"/>
          </w:tcPr>
          <w:p w14:paraId="2E99D719">
            <w:pPr>
              <w:jc w:val="center"/>
            </w:pPr>
            <w:r>
              <w:rPr>
                <w:rFonts w:hint="eastAsia" w:ascii="黑体" w:hAnsi="黑体" w:eastAsia="黑体" w:cs="黑体"/>
              </w:rPr>
              <w:t>年度卓越品牌</w:t>
            </w:r>
          </w:p>
        </w:tc>
        <w:tc>
          <w:tcPr>
            <w:tcW w:w="7800" w:type="dxa"/>
            <w:vAlign w:val="center"/>
          </w:tcPr>
          <w:p w14:paraId="40AC4519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1.企业（全球）职员人数在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00人以上或公司全球年度销售额超过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3亿</w:t>
            </w:r>
            <w:r>
              <w:rPr>
                <w:rFonts w:hint="eastAsia" w:ascii="仿宋" w:hAnsi="仿宋" w:eastAsia="仿宋"/>
                <w:bCs/>
                <w:szCs w:val="21"/>
              </w:rPr>
              <w:t>；</w:t>
            </w:r>
          </w:p>
          <w:p w14:paraId="0793ABBC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000万以上，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年1月1日前注册成立8年及以上；</w:t>
            </w:r>
          </w:p>
          <w:p w14:paraId="2EFE56FF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3.该年度至少有一套成功交付的且具示范性的系统解决方案；</w:t>
            </w:r>
          </w:p>
          <w:p w14:paraId="2A68CB23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4.守法经营、依法纳税、信诺履约，劳动关系和谐，有良好信誉记录；</w:t>
            </w:r>
          </w:p>
          <w:p w14:paraId="1FB38775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5.企业具有良好的公众形象，积极承担社会责任，获得广泛认可和好评；</w:t>
            </w:r>
          </w:p>
          <w:p w14:paraId="0E7E2B28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6.以榜样姿态促进机器人行业内各个层级、机器人行业与外部环境的高度合作，与相关生态圈实现共赢，对机器人领域做出了显著贡献。</w:t>
            </w:r>
          </w:p>
        </w:tc>
      </w:tr>
      <w:tr w14:paraId="2107B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770" w:type="dxa"/>
            <w:vMerge w:val="continue"/>
          </w:tcPr>
          <w:p w14:paraId="0CA11FA8"/>
        </w:tc>
        <w:tc>
          <w:tcPr>
            <w:tcW w:w="1690" w:type="dxa"/>
            <w:vAlign w:val="center"/>
          </w:tcPr>
          <w:p w14:paraId="7406764A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6AEA2047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1.企业（全球）职员人数在</w:t>
            </w:r>
            <w:r>
              <w:rPr>
                <w:rFonts w:ascii="仿宋" w:hAnsi="仿宋" w:eastAsia="仿宋"/>
                <w:bCs/>
                <w:szCs w:val="21"/>
              </w:rPr>
              <w:t>2</w:t>
            </w:r>
            <w:r>
              <w:rPr>
                <w:rFonts w:hint="eastAsia" w:ascii="仿宋" w:hAnsi="仿宋" w:eastAsia="仿宋"/>
                <w:bCs/>
                <w:szCs w:val="21"/>
              </w:rPr>
              <w:t>00人以上或公司全球年度销售额超过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1.5亿</w:t>
            </w:r>
            <w:r>
              <w:rPr>
                <w:rFonts w:hint="eastAsia" w:ascii="仿宋" w:hAnsi="仿宋" w:eastAsia="仿宋"/>
                <w:bCs/>
                <w:szCs w:val="21"/>
              </w:rPr>
              <w:t>；</w:t>
            </w:r>
          </w:p>
          <w:p w14:paraId="3B935AB0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2.企业注册资金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00万以上，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年及以上；</w:t>
            </w:r>
          </w:p>
          <w:p w14:paraId="3EAD8253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3.该年度至少有三套成功交付的且具示范性的系统解决方案；</w:t>
            </w:r>
          </w:p>
          <w:p w14:paraId="142BA6D4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4.守法经营、依法纳税、信诺履约，劳动关系和谐，有良好信誉记录；</w:t>
            </w:r>
          </w:p>
          <w:p w14:paraId="73463EA3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5.企业具有良好的公众形象，积极承担社会责任，获得广泛认可和好评；</w:t>
            </w:r>
          </w:p>
          <w:p w14:paraId="0FFFF1AD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6.以榜样姿态促进机器人行业内各个层级、机器人行业与外部环境的高度合作，与相关生态圈实现共赢，对机器人领域做出了显著贡献。</w:t>
            </w:r>
          </w:p>
        </w:tc>
      </w:tr>
      <w:tr w14:paraId="05A3C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770" w:type="dxa"/>
            <w:vMerge w:val="continue"/>
          </w:tcPr>
          <w:p w14:paraId="5E2BCD4C"/>
        </w:tc>
        <w:tc>
          <w:tcPr>
            <w:tcW w:w="1690" w:type="dxa"/>
            <w:vAlign w:val="center"/>
          </w:tcPr>
          <w:p w14:paraId="5C4E30DF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34789398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年专利数量（含正在申请）超过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年新增项目至少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4.守法经营、依法纳税、信诺履约，劳动关系和谐，有良好信誉记录。</w:t>
            </w:r>
          </w:p>
        </w:tc>
      </w:tr>
      <w:tr w14:paraId="622BE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770" w:type="dxa"/>
            <w:vMerge w:val="continue"/>
          </w:tcPr>
          <w:p w14:paraId="2357070E"/>
        </w:tc>
        <w:tc>
          <w:tcPr>
            <w:tcW w:w="1690" w:type="dxa"/>
            <w:vAlign w:val="center"/>
          </w:tcPr>
          <w:p w14:paraId="55DBFCE3">
            <w:pPr>
              <w:jc w:val="center"/>
              <w:rPr>
                <w:rFonts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1266ABD9">
            <w:pPr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年1月1日前注册成立低于</w:t>
            </w:r>
            <w:r>
              <w:rPr>
                <w:rFonts w:ascii="仿宋" w:hAnsi="仿宋" w:eastAsia="仿宋"/>
                <w:bCs/>
                <w:szCs w:val="21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</w:rPr>
              <w:t>年的企业；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3.守法经营、依法纳税、信诺履约，劳动关系和谐，有良好信誉记录。</w:t>
            </w:r>
          </w:p>
        </w:tc>
      </w:tr>
      <w:tr w14:paraId="20CB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770" w:type="dxa"/>
            <w:vMerge w:val="restart"/>
          </w:tcPr>
          <w:p w14:paraId="4D3555A8">
            <w:pPr>
              <w:ind w:right="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  <w:lang w:val="en-US" w:eastAsia="zh-CN"/>
              </w:rPr>
              <w:t>人形机器人/具身智能</w:t>
            </w:r>
          </w:p>
        </w:tc>
        <w:tc>
          <w:tcPr>
            <w:tcW w:w="1690" w:type="dxa"/>
            <w:vAlign w:val="center"/>
          </w:tcPr>
          <w:p w14:paraId="48CBB454">
            <w:pPr>
              <w:jc w:val="center"/>
              <w:rPr>
                <w:rFonts w:hint="eastAsia" w:ascii="黑体" w:hAnsi="黑体" w:eastAsia="黑体" w:cs="黑体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2"/>
                <w:lang w:val="en-US" w:eastAsia="zh-CN"/>
              </w:rPr>
              <w:t>年度</w:t>
            </w:r>
            <w:r>
              <w:rPr>
                <w:rFonts w:hint="eastAsia" w:ascii="黑体" w:hAnsi="黑体" w:eastAsia="黑体" w:cs="黑体"/>
              </w:rPr>
              <w:t>卓越品牌</w:t>
            </w:r>
          </w:p>
        </w:tc>
        <w:tc>
          <w:tcPr>
            <w:tcW w:w="7800" w:type="dxa"/>
            <w:vAlign w:val="center"/>
          </w:tcPr>
          <w:p w14:paraId="74DDEF09">
            <w:pPr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1.企业（全球）职员人数在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,00人以上或公司全球年度销售额超过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000万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2.企业注册资金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000万</w:t>
            </w:r>
            <w:r>
              <w:rPr>
                <w:rFonts w:hint="eastAsia" w:ascii="仿宋" w:hAnsi="仿宋" w:eastAsia="仿宋"/>
                <w:bCs/>
                <w:szCs w:val="21"/>
              </w:rPr>
              <w:t>及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年及以上；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4.企业具有良好的公众形象，积极承担社会责任，获得广泛认可和好评；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5.以榜样姿态促进机器人行业内各个层级、机器人行业与外部环境的高度合作，与相关生态圈实现共赢，对机器人领域做出了显著贡献。</w:t>
            </w:r>
          </w:p>
        </w:tc>
      </w:tr>
      <w:tr w14:paraId="3B0D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770" w:type="dxa"/>
            <w:vMerge w:val="continue"/>
          </w:tcPr>
          <w:p w14:paraId="240FB9A0"/>
        </w:tc>
        <w:tc>
          <w:tcPr>
            <w:tcW w:w="1690" w:type="dxa"/>
            <w:vAlign w:val="center"/>
          </w:tcPr>
          <w:p w14:paraId="730769AE">
            <w:pPr>
              <w:jc w:val="center"/>
              <w:rPr>
                <w:rFonts w:hint="eastAsia"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年度价值品牌</w:t>
            </w:r>
          </w:p>
        </w:tc>
        <w:tc>
          <w:tcPr>
            <w:tcW w:w="7800" w:type="dxa"/>
            <w:vAlign w:val="center"/>
          </w:tcPr>
          <w:p w14:paraId="507FE1EB">
            <w:pPr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1.企业注册资金500万</w:t>
            </w:r>
            <w:r>
              <w:rPr>
                <w:rFonts w:hint="eastAsia" w:ascii="仿宋" w:hAnsi="仿宋" w:eastAsia="仿宋"/>
                <w:bCs/>
                <w:szCs w:val="21"/>
              </w:rPr>
              <w:t>及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以上，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2026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年1月1日前注册成立3年及以上；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2.守法经营、依法纳税、信诺履约，劳动关系和谐，有良好信誉记录；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3.企业符合现代企业制度规范，主营业务清晰、拥有独特的技术优势或独享资源；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4.经营业绩突出，主要经济指标位于本行业前列，企业具有快速成长性和可持续发展的前景。</w:t>
            </w:r>
          </w:p>
        </w:tc>
      </w:tr>
      <w:tr w14:paraId="368A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770" w:type="dxa"/>
            <w:vMerge w:val="continue"/>
          </w:tcPr>
          <w:p w14:paraId="36B7B8AC"/>
        </w:tc>
        <w:tc>
          <w:tcPr>
            <w:tcW w:w="1690" w:type="dxa"/>
            <w:vAlign w:val="center"/>
          </w:tcPr>
          <w:p w14:paraId="17C1B43E">
            <w:pPr>
              <w:jc w:val="center"/>
              <w:rPr>
                <w:rFonts w:hint="eastAsia" w:ascii="黑体" w:hAnsi="黑体" w:eastAsia="黑体" w:cs="黑体"/>
                <w:szCs w:val="2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  <w:szCs w:val="21"/>
              </w:rPr>
              <w:t>年度创新品牌</w:t>
            </w:r>
          </w:p>
        </w:tc>
        <w:tc>
          <w:tcPr>
            <w:tcW w:w="7800" w:type="dxa"/>
            <w:vAlign w:val="center"/>
          </w:tcPr>
          <w:p w14:paraId="606B9052">
            <w:pPr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1.企业研发人员占总职员比例超25%；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年专利数量（含正在申请）超过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3.企业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2025</w:t>
            </w:r>
            <w:r>
              <w:rPr>
                <w:rFonts w:hint="eastAsia" w:ascii="仿宋" w:hAnsi="仿宋" w:eastAsia="仿宋"/>
                <w:bCs/>
                <w:szCs w:val="21"/>
              </w:rPr>
              <w:t>年新增项目至少</w:t>
            </w:r>
            <w:r>
              <w:rPr>
                <w:rFonts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个；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4.守法经营、依法纳税、信诺履约，劳动关系和谐，有良好信誉记录。</w:t>
            </w:r>
          </w:p>
        </w:tc>
      </w:tr>
      <w:tr w14:paraId="5D503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770" w:type="dxa"/>
            <w:vMerge w:val="continue"/>
          </w:tcPr>
          <w:p w14:paraId="67DA4D10"/>
        </w:tc>
        <w:tc>
          <w:tcPr>
            <w:tcW w:w="1690" w:type="dxa"/>
            <w:vAlign w:val="center"/>
          </w:tcPr>
          <w:p w14:paraId="7F106485">
            <w:pPr>
              <w:jc w:val="center"/>
              <w:rPr>
                <w:rFonts w:hint="eastAsia" w:ascii="黑体" w:hAnsi="黑体" w:eastAsia="黑体" w:cs="黑体"/>
                <w:szCs w:val="22"/>
              </w:rPr>
            </w:pPr>
            <w:r>
              <w:rPr>
                <w:rFonts w:hint="eastAsia" w:ascii="黑体" w:hAnsi="黑体" w:eastAsia="黑体" w:cs="黑体"/>
                <w:szCs w:val="22"/>
              </w:rPr>
              <w:t>年度新锐品牌</w:t>
            </w:r>
          </w:p>
        </w:tc>
        <w:tc>
          <w:tcPr>
            <w:tcW w:w="7800" w:type="dxa"/>
            <w:vAlign w:val="center"/>
          </w:tcPr>
          <w:p w14:paraId="5FD01410">
            <w:pPr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1.企业注册资金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00万及以上，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Cs w:val="21"/>
              </w:rPr>
              <w:t>年1月1日前注册成立低于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年的企业；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2.企业拥有自主知识产权；</w:t>
            </w:r>
            <w:r>
              <w:rPr>
                <w:rFonts w:hint="eastAsia" w:ascii="仿宋" w:hAnsi="仿宋" w:eastAsia="仿宋"/>
                <w:bCs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bCs/>
                <w:szCs w:val="21"/>
              </w:rPr>
              <w:t>3.守法经营、依法纳税、信诺履约，劳动关系和谐，有良好信誉记录。</w:t>
            </w:r>
          </w:p>
        </w:tc>
      </w:tr>
    </w:tbl>
    <w:p w14:paraId="4AAC5E36"/>
    <w:p w14:paraId="1018BE9A"/>
    <w:sectPr>
      <w:pgSz w:w="11906" w:h="16838"/>
      <w:pgMar w:top="1174" w:right="1134" w:bottom="964" w:left="1134" w:header="851" w:footer="70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91535">
    <w:pPr>
      <w:pStyle w:val="5"/>
      <w:jc w:val="right"/>
      <w:rPr>
        <w:sz w:val="24"/>
        <w:szCs w:val="24"/>
      </w:rPr>
    </w:pPr>
    <w:r>
      <w:rPr>
        <w:rFonts w:hint="eastAsia"/>
        <w:sz w:val="24"/>
        <w:szCs w:val="24"/>
      </w:rPr>
      <w:t>WWW.CAPEK.CN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8F4A0">
    <w:pPr>
      <w:pStyle w:val="6"/>
      <w:pBdr>
        <w:bottom w:val="none" w:color="auto" w:sz="0" w:space="1"/>
      </w:pBdr>
      <w:jc w:val="right"/>
      <w:rPr>
        <w:rFonts w:ascii="仿宋" w:hAnsi="仿宋" w:eastAsia="仿宋" w:cs="仿宋"/>
        <w:sz w:val="24"/>
        <w:szCs w:val="36"/>
      </w:rP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-133350</wp:posOffset>
          </wp:positionV>
          <wp:extent cx="882015" cy="360045"/>
          <wp:effectExtent l="0" t="0" r="6985" b="8255"/>
          <wp:wrapNone/>
          <wp:docPr id="1" name="图片 1" descr="无底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无底 新logo"/>
                  <pic:cNvPicPr>
                    <a:picLocks noChangeAspect="1"/>
                  </pic:cNvPicPr>
                </pic:nvPicPr>
                <pic:blipFill>
                  <a:blip r:embed="rId1"/>
                  <a:srcRect t="15638" b="16167"/>
                  <a:stretch>
                    <a:fillRect/>
                  </a:stretch>
                </pic:blipFill>
                <pic:spPr>
                  <a:xfrm>
                    <a:off x="0" y="0"/>
                    <a:ext cx="882015" cy="360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  <w:sz w:val="24"/>
        <w:szCs w:val="36"/>
      </w:rPr>
      <w:t>遇见恰佩克 预见新未来</w:t>
    </w:r>
  </w:p>
  <w:p w14:paraId="32778774">
    <w:pPr>
      <w:pStyle w:val="6"/>
      <w:pBdr>
        <w:bottom w:val="none" w:color="auto" w:sz="0" w:space="1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309"/>
    <w:rsid w:val="000515C8"/>
    <w:rsid w:val="0006031F"/>
    <w:rsid w:val="00070B47"/>
    <w:rsid w:val="000E6B90"/>
    <w:rsid w:val="000F763B"/>
    <w:rsid w:val="00263B7E"/>
    <w:rsid w:val="0037292B"/>
    <w:rsid w:val="00395774"/>
    <w:rsid w:val="003965E2"/>
    <w:rsid w:val="00552035"/>
    <w:rsid w:val="00571EB2"/>
    <w:rsid w:val="005C427A"/>
    <w:rsid w:val="005E1CC2"/>
    <w:rsid w:val="00653A9B"/>
    <w:rsid w:val="006746F0"/>
    <w:rsid w:val="006968A6"/>
    <w:rsid w:val="006D71D2"/>
    <w:rsid w:val="00720309"/>
    <w:rsid w:val="007A0D08"/>
    <w:rsid w:val="007D2503"/>
    <w:rsid w:val="00804FF6"/>
    <w:rsid w:val="008324EC"/>
    <w:rsid w:val="009817F9"/>
    <w:rsid w:val="00AC010A"/>
    <w:rsid w:val="00AE31F0"/>
    <w:rsid w:val="00B544BE"/>
    <w:rsid w:val="00D03C30"/>
    <w:rsid w:val="00DF1EB4"/>
    <w:rsid w:val="00EF0B32"/>
    <w:rsid w:val="00F00E57"/>
    <w:rsid w:val="00F2472B"/>
    <w:rsid w:val="00F50CD5"/>
    <w:rsid w:val="00FA171A"/>
    <w:rsid w:val="02A2745D"/>
    <w:rsid w:val="059929C8"/>
    <w:rsid w:val="05DB1E33"/>
    <w:rsid w:val="0880436F"/>
    <w:rsid w:val="0F471134"/>
    <w:rsid w:val="15B24245"/>
    <w:rsid w:val="189274D3"/>
    <w:rsid w:val="1D7D2FC4"/>
    <w:rsid w:val="1F0B69EB"/>
    <w:rsid w:val="216A2D08"/>
    <w:rsid w:val="21B0310C"/>
    <w:rsid w:val="21DC520E"/>
    <w:rsid w:val="2706328C"/>
    <w:rsid w:val="2ECF773B"/>
    <w:rsid w:val="37FE0C6A"/>
    <w:rsid w:val="39CB1258"/>
    <w:rsid w:val="3B9D6BCF"/>
    <w:rsid w:val="3F5C3FF4"/>
    <w:rsid w:val="3FAF5806"/>
    <w:rsid w:val="4236254F"/>
    <w:rsid w:val="42E6102D"/>
    <w:rsid w:val="43E62D8A"/>
    <w:rsid w:val="467B672B"/>
    <w:rsid w:val="53BA2483"/>
    <w:rsid w:val="54340885"/>
    <w:rsid w:val="5C2D5F36"/>
    <w:rsid w:val="5DE660DF"/>
    <w:rsid w:val="640F16E6"/>
    <w:rsid w:val="6B807748"/>
    <w:rsid w:val="6E626F55"/>
    <w:rsid w:val="6EF22405"/>
    <w:rsid w:val="6FB7748F"/>
    <w:rsid w:val="722C63AC"/>
    <w:rsid w:val="755E380D"/>
    <w:rsid w:val="783E6A37"/>
    <w:rsid w:val="79B6EB26"/>
    <w:rsid w:val="7ED637DE"/>
    <w:rsid w:val="DF1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2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4882</Words>
  <Characters>5341</Characters>
  <Lines>1</Lines>
  <Paragraphs>1</Paragraphs>
  <TotalTime>2</TotalTime>
  <ScaleCrop>false</ScaleCrop>
  <LinksUpToDate>false</LinksUpToDate>
  <CharactersWithSpaces>5372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2021-12-16T08:22:00Z</dcterms:created>
  <dc:creator>liaiai</dc:creator>
  <cp:lastModifiedBy>V</cp:lastModifiedBy>
  <dcterms:modified xsi:type="dcterms:W3CDTF">2025-12-24T08:29:46Z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eyJoZGlkIjoiOGU4NTAxMzJjMTkwZTVkNWQwYjIyMDIyNTg5ZmExY2EiLCJ1c2VySWQiOiI3NDI2ODIwMDcifQ==</vt:lpwstr>
  </property>
  <property fmtid="{D5CDD505-2E9C-101B-9397-08002B2CF9AE}" pid="4" name="ICV">
    <vt:lpwstr>1EFEBC25B2FA43D48CACC9CDE7AB4B0C_12</vt:lpwstr>
  </property>
</Properties>
</file>